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F95" w:rsidRDefault="00807C76">
      <w:pPr>
        <w:pStyle w:val="af0"/>
        <w:tabs>
          <w:tab w:val="left" w:pos="4860"/>
          <w:tab w:val="left" w:pos="5040"/>
          <w:tab w:val="left" w:pos="6480"/>
        </w:tabs>
        <w:spacing w:line="280" w:lineRule="exact"/>
        <w:ind w:right="1975" w:firstLine="0"/>
        <w:rPr>
          <w:szCs w:val="30"/>
        </w:rPr>
      </w:pPr>
      <w:bookmarkStart w:id="0" w:name="_GoBack"/>
      <w:bookmarkEnd w:id="0"/>
      <w:r>
        <w:rPr>
          <w:szCs w:val="30"/>
        </w:rPr>
        <w:t xml:space="preserve">Комментарий </w:t>
      </w:r>
    </w:p>
    <w:p w:rsidR="00284F95" w:rsidRDefault="00807C76">
      <w:pPr>
        <w:tabs>
          <w:tab w:val="left" w:pos="4111"/>
          <w:tab w:val="left" w:pos="7938"/>
          <w:tab w:val="left" w:pos="8505"/>
        </w:tabs>
        <w:spacing w:line="280" w:lineRule="exact"/>
        <w:ind w:right="3968"/>
        <w:jc w:val="both"/>
      </w:pPr>
      <w:r>
        <w:rPr>
          <w:szCs w:val="30"/>
        </w:rPr>
        <w:t xml:space="preserve">к постановлению </w:t>
      </w:r>
      <w:r>
        <w:t xml:space="preserve">Совета Министров Республики Беларусь и Национального банка Республики Беларусь от 29 ноября 2019 г. № 819/16 «Об изменении постановления Совета Министров Республики Беларусь и Национального банка Республики Беларусь от 6 июля </w:t>
      </w:r>
      <w:r>
        <w:br/>
        <w:t>2011 г. № 924/16»</w:t>
      </w:r>
    </w:p>
    <w:p w:rsidR="00284F95" w:rsidRDefault="00284F95">
      <w:pPr>
        <w:spacing w:line="360" w:lineRule="auto"/>
        <w:ind w:firstLine="709"/>
        <w:jc w:val="both"/>
        <w:rPr>
          <w:spacing w:val="-4"/>
          <w:szCs w:val="30"/>
        </w:rPr>
      </w:pPr>
    </w:p>
    <w:p w:rsidR="00284F95" w:rsidRDefault="00807C76">
      <w:pPr>
        <w:ind w:firstLine="709"/>
        <w:jc w:val="both"/>
      </w:pPr>
      <w:r>
        <w:t xml:space="preserve">Постановление Совета Министров Республики Беларусь и Национального банка Республики Беларусь </w:t>
      </w:r>
      <w:r>
        <w:rPr>
          <w:szCs w:val="30"/>
        </w:rPr>
        <w:t xml:space="preserve">от 29 ноября 2019 г. № 819/16 </w:t>
      </w:r>
      <w:r>
        <w:t xml:space="preserve">«Об изменении постановления Совета Министров Республики Беларусь и Национального банка Республики Беларусь от 6 июля 2011 г. № 924/16» (далее – </w:t>
      </w:r>
      <w:r>
        <w:rPr>
          <w:szCs w:val="30"/>
        </w:rPr>
        <w:t>постановление № 819/16</w:t>
      </w:r>
      <w:r>
        <w:t>) принято в целях расширения возможности использования новых способов осуществления безналичных расчетов за приобретаемые товары (работы, услуги), создания дополнительных условий для внедрения в Республике Беларусь программных касс, создания условий для проведения на кассовом оборудовании, подключенном к системе контроля кассового оборудования (далее – СККО), операций выдачи наличных денег покупателям при осуществлении операций с банковскими платежными карточками, и урегулирования ряда других вопросов.</w:t>
      </w:r>
    </w:p>
    <w:p w:rsidR="00284F95" w:rsidRDefault="00807C76">
      <w:pPr>
        <w:pStyle w:val="11"/>
      </w:pPr>
      <w:r>
        <w:rPr>
          <w:szCs w:val="30"/>
        </w:rPr>
        <w:t>Постановлением Совета Министров Республики Беларусь и Национального банка Республики Беларусь от 06.07.2011 № 924/16 (далее – п</w:t>
      </w:r>
      <w:r>
        <w:t>остановление № 924/16) и утвержденным этим постановлением положением (далее – Положение № 924/16) урегулированы вопросы использования кассового оборудования, платежных терминалов при приеме наличных денежных средств и безналичных денежных средств с использованием банковских платежных карточек.</w:t>
      </w:r>
    </w:p>
    <w:p w:rsidR="00284F95" w:rsidRDefault="00807C76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t xml:space="preserve">Вместе с тем, в настоящее время банки Республики Беларусь, </w:t>
      </w:r>
      <w:r>
        <w:rPr>
          <w:rFonts w:eastAsiaTheme="minorHAnsi"/>
          <w:szCs w:val="30"/>
          <w:lang w:eastAsia="en-US"/>
        </w:rPr>
        <w:t xml:space="preserve">открытое акционерное общество «Небанковская кредитно-финансовая организация «Единое расчетное и информационное пространство» (далее – НКФО ЕРИП), РУП «Белпочта», которое является платежным агентом ЕРИП, предоставляют дополнительные  возможности  для проведения безналичных платежей при приобретении товаров (работ, услуг), в частности, новые способы инициирования платежей при использовании </w:t>
      </w:r>
      <w:r>
        <w:rPr>
          <w:rFonts w:eastAsiaTheme="minorHAnsi"/>
          <w:szCs w:val="30"/>
          <w:lang w:val="en-US" w:eastAsia="en-US"/>
        </w:rPr>
        <w:t>QR</w:t>
      </w:r>
      <w:r>
        <w:rPr>
          <w:rFonts w:eastAsiaTheme="minorHAnsi"/>
          <w:szCs w:val="30"/>
          <w:lang w:eastAsia="en-US"/>
        </w:rPr>
        <w:t>-кодов и (или) мобильных приложений.</w:t>
      </w:r>
      <w:r>
        <w:rPr>
          <w:szCs w:val="30"/>
        </w:rPr>
        <w:t xml:space="preserve"> </w:t>
      </w:r>
    </w:p>
    <w:p w:rsidR="00284F95" w:rsidRDefault="00807C76">
      <w:pPr>
        <w:autoSpaceDE w:val="0"/>
        <w:autoSpaceDN w:val="0"/>
        <w:adjustRightInd w:val="0"/>
        <w:ind w:firstLine="709"/>
        <w:jc w:val="both"/>
      </w:pPr>
      <w:r>
        <w:rPr>
          <w:szCs w:val="30"/>
        </w:rPr>
        <w:t xml:space="preserve">В Республике Беларусь созданы правовые условия для совершения операций с электронными деньгами. Установлен порядок открытия физическими лицами, юридическими лицами, индивидуальными предпринимателями электронных кошельков и проведения операций по электронным кошелькам. Юридические лица, индивидуальные предприниматели, открывшие в соответствии с банковским законодательством электронные кошельки и прошедшие идентификацию в </w:t>
      </w:r>
      <w:r>
        <w:rPr>
          <w:szCs w:val="30"/>
        </w:rPr>
        <w:lastRenderedPageBreak/>
        <w:t>установленном порядке, вправе получать электронные деньги от покупателей (потребителей), а физические лица, открывшие электронные кошельки и прошедшие идентификацию в установленном порядке, вправе использовать электронные деньги для совершения широкого спектра платежей. В частности, проекты на основе использования электронных денег могут быть реализованы в сфере осуществления</w:t>
      </w:r>
      <w:r>
        <w:t xml:space="preserve"> платежей в торговых объектах, объектах общественного питания, объектах сферы услуг, общественного транспорта, интернет-среде, в ЕРИП.</w:t>
      </w:r>
    </w:p>
    <w:p w:rsidR="00284F95" w:rsidRDefault="00807C76">
      <w:pPr>
        <w:pStyle w:val="11"/>
      </w:pPr>
      <w:r>
        <w:rPr>
          <w:szCs w:val="30"/>
        </w:rPr>
        <w:t xml:space="preserve">Однако на практике  использование электронных денег при оплате товаров, работ, услуг не получило широкого распространения, хотя данное средство платежа имеет ряд преимуществ. </w:t>
      </w:r>
      <w:r>
        <w:t xml:space="preserve">В частности, расчеты электронными деньгами могут совершаться посредством инициирования платежей при использовании </w:t>
      </w:r>
      <w:r>
        <w:rPr>
          <w:lang w:val="en-US"/>
        </w:rPr>
        <w:t>QR</w:t>
      </w:r>
      <w:r>
        <w:t xml:space="preserve">-кода – </w:t>
      </w:r>
      <w:r>
        <w:rPr>
          <w:spacing w:val="-4"/>
          <w:szCs w:val="24"/>
        </w:rPr>
        <w:t>двумерной оптической метки, содержащей закодированную</w:t>
      </w:r>
      <w:r>
        <w:rPr>
          <w:szCs w:val="24"/>
        </w:rPr>
        <w:t xml:space="preserve"> информацию, используемую при проведении расчетов в безналичной форме в соответствии с банковским законодательством. При этом, производится </w:t>
      </w:r>
      <w:r>
        <w:t>перечисление электронных денег с электронного кошелька покупателя (потребителя) в электронный кошелек юридического лица или индивидуального предпринимателя – получателя (продавца). Аналогичный механизм может использоваться для осуществления платежей непосредственно с банковского счета покупателя на счет продавца.</w:t>
      </w:r>
    </w:p>
    <w:p w:rsidR="00284F95" w:rsidRDefault="00807C76">
      <w:pPr>
        <w:pStyle w:val="11"/>
      </w:pPr>
      <w:r>
        <w:t>Использование таких механизмов имеет следующие важные преимущества по сравнению с организацией расчетов при использовании банковских платежных карточек:</w:t>
      </w:r>
    </w:p>
    <w:p w:rsidR="00284F95" w:rsidRDefault="00807C76">
      <w:pPr>
        <w:pStyle w:val="11"/>
      </w:pPr>
      <w:r>
        <w:t>нет необходимости отчислений иностранным платежным системам;</w:t>
      </w:r>
    </w:p>
    <w:p w:rsidR="00284F95" w:rsidRDefault="00807C76">
      <w:pPr>
        <w:pStyle w:val="11"/>
      </w:pPr>
      <w:r>
        <w:t>стоимость инфраструктуры для осуществления платежей  электронными деньгами может быть существенно ниже по сравнению с инфраструктурой для оплаты при использовании банковских платежных карточек;</w:t>
      </w:r>
    </w:p>
    <w:p w:rsidR="00284F95" w:rsidRDefault="00807C76">
      <w:pPr>
        <w:pStyle w:val="11"/>
      </w:pPr>
      <w:r>
        <w:t>для юридических лиц, индивидуальных предпринимателей организация приема платежей электронными деньгами в качестве средства платежа (либо приема платежей безналичными денежными средствами непосредственно со счета покупателя на счет продавца) может быть существенно дешевле, чем при использовании  банковских платежных карточек.</w:t>
      </w:r>
    </w:p>
    <w:p w:rsidR="00284F95" w:rsidRDefault="00807C76">
      <w:pPr>
        <w:pStyle w:val="11"/>
      </w:pPr>
      <w:r>
        <w:t xml:space="preserve">Использование новых платежных сервисов, например, на основе  </w:t>
      </w:r>
      <w:r>
        <w:rPr>
          <w:lang w:val="en-US"/>
        </w:rPr>
        <w:t>QR</w:t>
      </w:r>
      <w:r>
        <w:t xml:space="preserve">-кодов и (или) мобильных приложений в целях инициирования платежей предоставит юридическим лицам, индивидуальным предпринимателям дополнительные преимущества и будет способствовать развитию системы безналичных расчетов в Республике Беларусь. </w:t>
      </w:r>
    </w:p>
    <w:p w:rsidR="00284F95" w:rsidRDefault="00807C76">
      <w:pPr>
        <w:pStyle w:val="11"/>
      </w:pPr>
      <w:r>
        <w:t xml:space="preserve">С учетом изложенного подпунктом 2.10 </w:t>
      </w:r>
      <w:r>
        <w:rPr>
          <w:szCs w:val="30"/>
        </w:rPr>
        <w:t>п</w:t>
      </w:r>
      <w:r>
        <w:t xml:space="preserve">остановления № 924/16 предусматривается </w:t>
      </w:r>
      <w:r>
        <w:rPr>
          <w:b/>
        </w:rPr>
        <w:t>право</w:t>
      </w:r>
      <w:r>
        <w:t xml:space="preserve"> для</w:t>
      </w:r>
      <w:r>
        <w:rPr>
          <w:b/>
        </w:rPr>
        <w:t xml:space="preserve"> </w:t>
      </w:r>
      <w:r>
        <w:t>юридических лиц и индивидуальных предпринимателей</w:t>
      </w:r>
      <w:r>
        <w:rPr>
          <w:b/>
        </w:rPr>
        <w:t xml:space="preserve"> </w:t>
      </w:r>
      <w:r>
        <w:t xml:space="preserve">обеспечивать помимо осуществления расчетов в </w:t>
      </w:r>
      <w:r>
        <w:lastRenderedPageBreak/>
        <w:t xml:space="preserve">безналичной форме посредством банковских платежных карточек, иные способы осуществления расчетов, в том числе при использовании </w:t>
      </w:r>
      <w:r>
        <w:rPr>
          <w:lang w:val="en-US"/>
        </w:rPr>
        <w:t>QR</w:t>
      </w:r>
      <w:r>
        <w:t>-кодов и (или) мобильных приложений, позволяющие в соответствии с требованиями банковского законодательства сформировать платежные инструкции, на основании которых проводятся операции по счетам, электронным кошелькам при осуществлении расчетов в безналичной форме, с проведением таких расчетов с и</w:t>
      </w:r>
      <w:r>
        <w:rPr>
          <w:spacing w:val="-6"/>
          <w:szCs w:val="30"/>
        </w:rPr>
        <w:t>спользованием кассового оборудования.</w:t>
      </w:r>
    </w:p>
    <w:p w:rsidR="00284F95" w:rsidRDefault="00807C76">
      <w:pPr>
        <w:ind w:firstLine="709"/>
        <w:jc w:val="both"/>
        <w:rPr>
          <w:szCs w:val="30"/>
        </w:rPr>
      </w:pPr>
      <w:r>
        <w:rPr>
          <w:szCs w:val="30"/>
        </w:rPr>
        <w:t>Соответственно, если</w:t>
      </w:r>
      <w:r>
        <w:t xml:space="preserve"> у субъектов хозяйствования</w:t>
      </w:r>
      <w:r>
        <w:rPr>
          <w:szCs w:val="30"/>
        </w:rPr>
        <w:t xml:space="preserve"> </w:t>
      </w:r>
      <w:r>
        <w:t xml:space="preserve">используются кассовые аппараты, не обеспечивающие в автоматизированном режиме отражение операций по проведению расчетов электронными деньгами либо напрямую по счетам покупателя и продавца при инициировании платежа посредством QR-кодов и (или) мобильных приложений, то данные субъекты хозяйствования могут осуществить отражение операций в ручном режиме с использованием </w:t>
      </w:r>
      <w:r>
        <w:rPr>
          <w:szCs w:val="30"/>
        </w:rPr>
        <w:t xml:space="preserve">операционных клавиш клавиатуры </w:t>
      </w:r>
      <w:r>
        <w:t xml:space="preserve">кассового аппарата, как продажу за безналичный расчет иным способом безналичного платежа. </w:t>
      </w:r>
    </w:p>
    <w:p w:rsidR="00284F95" w:rsidRDefault="00807C76">
      <w:pPr>
        <w:ind w:firstLine="709"/>
        <w:jc w:val="both"/>
      </w:pPr>
      <w:r>
        <w:t xml:space="preserve">Таким образом, </w:t>
      </w:r>
      <w:r>
        <w:rPr>
          <w:szCs w:val="30"/>
        </w:rPr>
        <w:t xml:space="preserve">постановление № 819/16 </w:t>
      </w:r>
      <w:r>
        <w:rPr>
          <w:b/>
        </w:rPr>
        <w:t>не предусматривают</w:t>
      </w:r>
      <w:r>
        <w:t xml:space="preserve"> обязательность доработки и (или) замены кассовых аппаратов, обязательность доработки программных касс в связи с введение дополнительной возможности </w:t>
      </w:r>
      <w:r>
        <w:rPr>
          <w:szCs w:val="30"/>
        </w:rPr>
        <w:t xml:space="preserve">совершения безналичных расчетов с использованием новых способов инициирования платежей, проводимых через </w:t>
      </w:r>
      <w:r>
        <w:rPr>
          <w:spacing w:val="-6"/>
          <w:szCs w:val="30"/>
        </w:rPr>
        <w:t xml:space="preserve"> кассовое оборудование. </w:t>
      </w:r>
    </w:p>
    <w:p w:rsidR="00284F95" w:rsidRDefault="00807C76">
      <w:pPr>
        <w:autoSpaceDE w:val="0"/>
        <w:autoSpaceDN w:val="0"/>
        <w:adjustRightInd w:val="0"/>
        <w:ind w:firstLine="709"/>
        <w:jc w:val="both"/>
      </w:pPr>
      <w:r>
        <w:t xml:space="preserve">При этом, в целях создания дополнительных условий для развития безналичных платежей </w:t>
      </w:r>
      <w:r>
        <w:rPr>
          <w:szCs w:val="30"/>
        </w:rPr>
        <w:t>постановлением</w:t>
      </w:r>
      <w:r>
        <w:rPr>
          <w:b/>
        </w:rPr>
        <w:t xml:space="preserve"> </w:t>
      </w:r>
      <w:r>
        <w:rPr>
          <w:szCs w:val="30"/>
        </w:rPr>
        <w:t xml:space="preserve">№ 819/16 </w:t>
      </w:r>
      <w:r>
        <w:t>предусмотрено, что требования Положения № 924/16 в части необходимости использования кассового оборудования и (или) платежных терминалов не распространяются на юридических лиц и индивидуальных предпринимателей, осуществляющих прием только безналичных денежных средств и (или) электронных денег в соответствии с банковским законодательством при одновременном соблюдении следующих условий:</w:t>
      </w:r>
    </w:p>
    <w:p w:rsidR="00284F95" w:rsidRDefault="00807C76">
      <w:pPr>
        <w:autoSpaceDE w:val="0"/>
        <w:autoSpaceDN w:val="0"/>
        <w:adjustRightInd w:val="0"/>
        <w:ind w:firstLine="709"/>
        <w:jc w:val="both"/>
      </w:pPr>
      <w:r>
        <w:t>прием (передача) средств платежа осуществляются без непосредственного обслуживания юридическими лицами и индивидуальными предпринимателями покупателей (потребителей), связанного с приемом средств платежа;</w:t>
      </w:r>
    </w:p>
    <w:p w:rsidR="00284F95" w:rsidRDefault="00807C76">
      <w:pPr>
        <w:autoSpaceDE w:val="0"/>
        <w:autoSpaceDN w:val="0"/>
        <w:adjustRightInd w:val="0"/>
        <w:ind w:firstLine="709"/>
        <w:jc w:val="both"/>
      </w:pPr>
      <w:r>
        <w:t xml:space="preserve">прием средств платежа в пользу юридических лиц и индивидуальных предпринимателей осуществляется через банки, небанковские кредитно-финансовые организации, платежных агентов, в том числе с использованием объектов программно-технической инфраструктуры для проведения платежей, путем инициирования платежей при использовании банковских платежных карточек и иными способами, включая использование для инициирования платежей QR-кодов и (или) мобильных приложений.  </w:t>
      </w:r>
    </w:p>
    <w:p w:rsidR="00284F95" w:rsidRDefault="00807C76">
      <w:pPr>
        <w:autoSpaceDE w:val="0"/>
        <w:autoSpaceDN w:val="0"/>
        <w:adjustRightInd w:val="0"/>
        <w:ind w:firstLine="709"/>
        <w:jc w:val="both"/>
      </w:pPr>
      <w:r>
        <w:t xml:space="preserve">Данные положения исключают обязанность применения кассового оборудования и (или) платежных терминалов, когда оплата товаров (работ, услуг) производится через кассы банков, с использованием ЕРИП, программно – технической инфраструктуры банков и ЕРИП (банкоматы, инфокиоски, платежные терминалы самообслуживания и др.), наложенным платежом через объекты РУП «Белпочта» и т.п., без непосредственного участия в этом процессе продавца (изготовителя) и покупателя (потребителя). </w:t>
      </w:r>
    </w:p>
    <w:p w:rsidR="00284F95" w:rsidRDefault="00807C76">
      <w:pPr>
        <w:pStyle w:val="11"/>
      </w:pPr>
      <w:r>
        <w:rPr>
          <w:szCs w:val="30"/>
        </w:rPr>
        <w:t>Постановлением</w:t>
      </w:r>
      <w:r>
        <w:t xml:space="preserve"> </w:t>
      </w:r>
      <w:r>
        <w:rPr>
          <w:szCs w:val="30"/>
        </w:rPr>
        <w:t xml:space="preserve">№ 819/16 </w:t>
      </w:r>
      <w:r>
        <w:t xml:space="preserve">предусмотрено, что программная касса обеспечивает </w:t>
      </w:r>
      <w:r>
        <w:rPr>
          <w:szCs w:val="30"/>
        </w:rPr>
        <w:t xml:space="preserve">возможность совершения расчетов в безналичной форме в соответствии с банковским законодательством иными способами при использовании </w:t>
      </w:r>
      <w:r>
        <w:rPr>
          <w:szCs w:val="30"/>
          <w:lang w:val="en-US"/>
        </w:rPr>
        <w:t>QR</w:t>
      </w:r>
      <w:r>
        <w:rPr>
          <w:szCs w:val="30"/>
        </w:rPr>
        <w:t xml:space="preserve">-кодов и (или) мобильных приложений, если оператором программной кассовой системы в программной кассе реализован такой способ осуществления  расчетов в безналичной форме. </w:t>
      </w:r>
      <w:r>
        <w:rPr>
          <w:spacing w:val="-6"/>
          <w:szCs w:val="30"/>
        </w:rPr>
        <w:t xml:space="preserve">Отмечаем, что указанная норма предоставляет </w:t>
      </w:r>
      <w:r>
        <w:rPr>
          <w:b/>
          <w:spacing w:val="-6"/>
          <w:szCs w:val="30"/>
        </w:rPr>
        <w:t>право</w:t>
      </w:r>
      <w:r>
        <w:rPr>
          <w:spacing w:val="-6"/>
          <w:szCs w:val="30"/>
        </w:rPr>
        <w:t xml:space="preserve"> юридическим лицам, индивидуальным предпринимателям, а не вводит для них дополнительную обязанность.  </w:t>
      </w:r>
    </w:p>
    <w:p w:rsidR="00284F95" w:rsidRDefault="00807C76">
      <w:pPr>
        <w:ind w:firstLine="709"/>
        <w:jc w:val="both"/>
        <w:rPr>
          <w:szCs w:val="30"/>
        </w:rPr>
      </w:pPr>
      <w:r>
        <w:rPr>
          <w:szCs w:val="30"/>
        </w:rPr>
        <w:t xml:space="preserve">С учетом предложений, поступивших от предпринимательских кругов, и в целях создания дополнительных условий для внедрения в республике программных касс, постановлением № 819/16  переносятся сроки подключения к СККО кассового оборудования, используемого индивидуальными предпринимателями. Так, </w:t>
      </w:r>
      <w:r>
        <w:rPr>
          <w:b/>
          <w:szCs w:val="30"/>
        </w:rPr>
        <w:t xml:space="preserve">увеличиваются до тринадцати месяцев </w:t>
      </w:r>
      <w:r>
        <w:rPr>
          <w:szCs w:val="30"/>
        </w:rPr>
        <w:t xml:space="preserve">сроки возможности использования кассового оборудования без установки средства контроля налоговых органов (далее – СКНО) в случае заключения индивидуальными предпринимателями с РУП «Информационно-издательский центр по налогам и сборам» гражданско-правовых договоров на установку, обслуживание, снятие СКНО согласно части второй подпункта 2.6 пункта 2 постановления </w:t>
      </w:r>
      <w:r>
        <w:rPr>
          <w:szCs w:val="30"/>
        </w:rPr>
        <w:br/>
        <w:t xml:space="preserve">№ 924/16. </w:t>
      </w:r>
    </w:p>
    <w:p w:rsidR="00284F95" w:rsidRDefault="00807C76">
      <w:pPr>
        <w:ind w:firstLine="709"/>
        <w:jc w:val="both"/>
        <w:rPr>
          <w:szCs w:val="30"/>
        </w:rPr>
      </w:pPr>
      <w:r>
        <w:rPr>
          <w:szCs w:val="30"/>
        </w:rPr>
        <w:t>Согласно внесенным изменениям, для индивидуальных предпринимателей, указанных в абзаце седьмом подпункта 2.6 пункта 2 постановления № 924/16, перенесены сроки установки СКНО:</w:t>
      </w:r>
    </w:p>
    <w:p w:rsidR="00284F95" w:rsidRDefault="00284F95">
      <w:pPr>
        <w:ind w:firstLine="709"/>
        <w:jc w:val="both"/>
        <w:rPr>
          <w:szCs w:val="30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22"/>
        <w:gridCol w:w="2362"/>
        <w:gridCol w:w="2416"/>
        <w:gridCol w:w="2428"/>
      </w:tblGrid>
      <w:tr w:rsidR="00284F95">
        <w:tc>
          <w:tcPr>
            <w:tcW w:w="2463" w:type="dxa"/>
          </w:tcPr>
          <w:p w:rsidR="00284F95" w:rsidRDefault="00807C76">
            <w:pPr>
              <w:autoSpaceDE w:val="0"/>
              <w:autoSpaceDN w:val="0"/>
              <w:adjustRightInd w:val="0"/>
              <w:rPr>
                <w:rFonts w:eastAsiaTheme="minorHAnsi"/>
                <w:szCs w:val="30"/>
                <w:lang w:eastAsia="en-US"/>
              </w:rPr>
            </w:pPr>
            <w:r>
              <w:rPr>
                <w:rFonts w:eastAsiaTheme="minorHAnsi"/>
                <w:szCs w:val="30"/>
                <w:lang w:eastAsia="en-US"/>
              </w:rPr>
              <w:t>Место осуществления деятельности</w:t>
            </w:r>
          </w:p>
        </w:tc>
        <w:tc>
          <w:tcPr>
            <w:tcW w:w="2463" w:type="dxa"/>
          </w:tcPr>
          <w:p w:rsidR="00284F95" w:rsidRDefault="004D7B87">
            <w:pPr>
              <w:autoSpaceDE w:val="0"/>
              <w:autoSpaceDN w:val="0"/>
              <w:adjustRightInd w:val="0"/>
              <w:rPr>
                <w:rFonts w:eastAsiaTheme="minorHAnsi"/>
                <w:szCs w:val="30"/>
                <w:lang w:eastAsia="en-US"/>
              </w:rPr>
            </w:pPr>
            <w:r>
              <w:rPr>
                <w:rFonts w:eastAsiaTheme="minorHAnsi"/>
                <w:szCs w:val="30"/>
                <w:lang w:eastAsia="en-US"/>
              </w:rPr>
              <w:t xml:space="preserve">Срок заключения договора </w:t>
            </w:r>
            <w:r>
              <w:rPr>
                <w:rFonts w:eastAsiaTheme="minorHAnsi"/>
                <w:szCs w:val="30"/>
                <w:lang w:val="en-US" w:eastAsia="en-US"/>
              </w:rPr>
              <w:t>c</w:t>
            </w:r>
            <w:r w:rsidR="00807C76">
              <w:rPr>
                <w:rFonts w:eastAsiaTheme="minorHAnsi"/>
                <w:szCs w:val="30"/>
                <w:lang w:eastAsia="en-US"/>
              </w:rPr>
              <w:t xml:space="preserve"> РУП ИИЦ</w:t>
            </w:r>
          </w:p>
        </w:tc>
        <w:tc>
          <w:tcPr>
            <w:tcW w:w="2464" w:type="dxa"/>
          </w:tcPr>
          <w:p w:rsidR="00284F95" w:rsidRDefault="00807C76">
            <w:pPr>
              <w:autoSpaceDE w:val="0"/>
              <w:autoSpaceDN w:val="0"/>
              <w:adjustRightInd w:val="0"/>
              <w:rPr>
                <w:rFonts w:eastAsiaTheme="minorHAnsi"/>
                <w:szCs w:val="30"/>
                <w:lang w:eastAsia="en-US"/>
              </w:rPr>
            </w:pPr>
            <w:r>
              <w:rPr>
                <w:rFonts w:eastAsiaTheme="minorHAnsi"/>
                <w:szCs w:val="30"/>
                <w:lang w:eastAsia="en-US"/>
              </w:rPr>
              <w:t>Дата установки СКНО до вступления в силу постановления № 819/16</w:t>
            </w:r>
          </w:p>
        </w:tc>
        <w:tc>
          <w:tcPr>
            <w:tcW w:w="2464" w:type="dxa"/>
          </w:tcPr>
          <w:p w:rsidR="00284F95" w:rsidRDefault="00807C76">
            <w:pPr>
              <w:autoSpaceDE w:val="0"/>
              <w:autoSpaceDN w:val="0"/>
              <w:adjustRightInd w:val="0"/>
              <w:rPr>
                <w:rFonts w:eastAsiaTheme="minorHAnsi"/>
                <w:szCs w:val="30"/>
                <w:lang w:eastAsia="en-US"/>
              </w:rPr>
            </w:pPr>
            <w:r>
              <w:rPr>
                <w:rFonts w:eastAsiaTheme="minorHAnsi"/>
                <w:szCs w:val="30"/>
                <w:lang w:eastAsia="en-US"/>
              </w:rPr>
              <w:t>Дата установки СКНО согласно постановлению № 819/16</w:t>
            </w:r>
          </w:p>
        </w:tc>
      </w:tr>
      <w:tr w:rsidR="00284F95">
        <w:tc>
          <w:tcPr>
            <w:tcW w:w="2463" w:type="dxa"/>
          </w:tcPr>
          <w:p w:rsidR="00284F95" w:rsidRDefault="00807C76">
            <w:pPr>
              <w:autoSpaceDE w:val="0"/>
              <w:autoSpaceDN w:val="0"/>
              <w:adjustRightInd w:val="0"/>
              <w:rPr>
                <w:rFonts w:eastAsiaTheme="minorHAnsi"/>
                <w:szCs w:val="30"/>
                <w:lang w:eastAsia="en-US"/>
              </w:rPr>
            </w:pPr>
            <w:r>
              <w:rPr>
                <w:rFonts w:eastAsiaTheme="minorHAnsi"/>
                <w:szCs w:val="30"/>
                <w:lang w:eastAsia="en-US"/>
              </w:rPr>
              <w:t>города областного подчинения и г. Минск</w:t>
            </w:r>
          </w:p>
        </w:tc>
        <w:tc>
          <w:tcPr>
            <w:tcW w:w="2463" w:type="dxa"/>
          </w:tcPr>
          <w:p w:rsidR="00284F95" w:rsidRDefault="00807C76">
            <w:pPr>
              <w:autoSpaceDE w:val="0"/>
              <w:autoSpaceDN w:val="0"/>
              <w:adjustRightInd w:val="0"/>
              <w:rPr>
                <w:rFonts w:eastAsiaTheme="minorHAnsi"/>
                <w:szCs w:val="30"/>
                <w:lang w:eastAsia="en-US"/>
              </w:rPr>
            </w:pPr>
            <w:r>
              <w:rPr>
                <w:rFonts w:eastAsiaTheme="minorHAnsi"/>
                <w:szCs w:val="30"/>
                <w:lang w:eastAsia="en-US"/>
              </w:rPr>
              <w:t xml:space="preserve">до 1 сентября </w:t>
            </w:r>
          </w:p>
          <w:p w:rsidR="00284F95" w:rsidRDefault="00807C76">
            <w:pPr>
              <w:autoSpaceDE w:val="0"/>
              <w:autoSpaceDN w:val="0"/>
              <w:adjustRightInd w:val="0"/>
              <w:rPr>
                <w:rFonts w:eastAsiaTheme="minorHAnsi"/>
                <w:szCs w:val="30"/>
                <w:lang w:eastAsia="en-US"/>
              </w:rPr>
            </w:pPr>
            <w:r>
              <w:rPr>
                <w:rFonts w:eastAsiaTheme="minorHAnsi"/>
                <w:szCs w:val="30"/>
                <w:lang w:eastAsia="en-US"/>
              </w:rPr>
              <w:t>2019 г.</w:t>
            </w:r>
          </w:p>
        </w:tc>
        <w:tc>
          <w:tcPr>
            <w:tcW w:w="2464" w:type="dxa"/>
          </w:tcPr>
          <w:p w:rsidR="00284F95" w:rsidRDefault="00807C76">
            <w:pPr>
              <w:autoSpaceDE w:val="0"/>
              <w:autoSpaceDN w:val="0"/>
              <w:adjustRightInd w:val="0"/>
              <w:rPr>
                <w:rFonts w:eastAsiaTheme="minorHAnsi"/>
                <w:szCs w:val="30"/>
                <w:lang w:eastAsia="en-US"/>
              </w:rPr>
            </w:pPr>
            <w:r>
              <w:rPr>
                <w:rFonts w:eastAsiaTheme="minorHAnsi"/>
                <w:szCs w:val="30"/>
                <w:lang w:eastAsia="en-US"/>
              </w:rPr>
              <w:t xml:space="preserve">до 1 ноября </w:t>
            </w:r>
            <w:r>
              <w:rPr>
                <w:rFonts w:eastAsiaTheme="minorHAnsi"/>
                <w:szCs w:val="30"/>
                <w:lang w:eastAsia="en-US"/>
              </w:rPr>
              <w:br/>
              <w:t>2019 г.</w:t>
            </w:r>
          </w:p>
        </w:tc>
        <w:tc>
          <w:tcPr>
            <w:tcW w:w="2464" w:type="dxa"/>
          </w:tcPr>
          <w:p w:rsidR="00284F95" w:rsidRDefault="00807C76">
            <w:pPr>
              <w:autoSpaceDE w:val="0"/>
              <w:autoSpaceDN w:val="0"/>
              <w:adjustRightInd w:val="0"/>
              <w:rPr>
                <w:rFonts w:eastAsiaTheme="minorHAnsi"/>
                <w:szCs w:val="30"/>
                <w:lang w:eastAsia="en-US"/>
              </w:rPr>
            </w:pPr>
            <w:r>
              <w:rPr>
                <w:rFonts w:eastAsiaTheme="minorHAnsi"/>
                <w:szCs w:val="30"/>
                <w:lang w:eastAsia="en-US"/>
              </w:rPr>
              <w:t xml:space="preserve">до 1 октября </w:t>
            </w:r>
          </w:p>
          <w:p w:rsidR="00284F95" w:rsidRDefault="00807C76">
            <w:pPr>
              <w:autoSpaceDE w:val="0"/>
              <w:autoSpaceDN w:val="0"/>
              <w:adjustRightInd w:val="0"/>
              <w:rPr>
                <w:rFonts w:eastAsiaTheme="minorHAnsi"/>
                <w:szCs w:val="30"/>
                <w:lang w:eastAsia="en-US"/>
              </w:rPr>
            </w:pPr>
            <w:r>
              <w:rPr>
                <w:rFonts w:eastAsiaTheme="minorHAnsi"/>
                <w:szCs w:val="30"/>
                <w:lang w:eastAsia="en-US"/>
              </w:rPr>
              <w:t>2020 г.</w:t>
            </w:r>
          </w:p>
        </w:tc>
      </w:tr>
      <w:tr w:rsidR="00284F95">
        <w:tc>
          <w:tcPr>
            <w:tcW w:w="2463" w:type="dxa"/>
          </w:tcPr>
          <w:p w:rsidR="00284F95" w:rsidRPr="004D7B87" w:rsidRDefault="00807C76">
            <w:pPr>
              <w:autoSpaceDE w:val="0"/>
              <w:autoSpaceDN w:val="0"/>
              <w:adjustRightInd w:val="0"/>
              <w:rPr>
                <w:rFonts w:eastAsiaTheme="minorHAnsi"/>
                <w:szCs w:val="30"/>
                <w:lang w:val="en-US" w:eastAsia="en-US"/>
              </w:rPr>
            </w:pPr>
            <w:r>
              <w:rPr>
                <w:rFonts w:eastAsiaTheme="minorHAnsi"/>
                <w:szCs w:val="30"/>
                <w:lang w:eastAsia="en-US"/>
              </w:rPr>
              <w:t>в городах районного подчинения</w:t>
            </w:r>
          </w:p>
        </w:tc>
        <w:tc>
          <w:tcPr>
            <w:tcW w:w="2463" w:type="dxa"/>
          </w:tcPr>
          <w:p w:rsidR="00284F95" w:rsidRDefault="00807C76">
            <w:pPr>
              <w:autoSpaceDE w:val="0"/>
              <w:autoSpaceDN w:val="0"/>
              <w:adjustRightInd w:val="0"/>
              <w:rPr>
                <w:rFonts w:eastAsiaTheme="minorHAnsi"/>
                <w:szCs w:val="30"/>
                <w:lang w:eastAsia="en-US"/>
              </w:rPr>
            </w:pPr>
            <w:r>
              <w:rPr>
                <w:rFonts w:eastAsiaTheme="minorHAnsi"/>
                <w:szCs w:val="30"/>
                <w:lang w:eastAsia="en-US"/>
              </w:rPr>
              <w:t xml:space="preserve">до 1 октября </w:t>
            </w:r>
          </w:p>
          <w:p w:rsidR="00284F95" w:rsidRDefault="00807C76">
            <w:pPr>
              <w:autoSpaceDE w:val="0"/>
              <w:autoSpaceDN w:val="0"/>
              <w:adjustRightInd w:val="0"/>
              <w:rPr>
                <w:rFonts w:eastAsiaTheme="minorHAnsi"/>
                <w:szCs w:val="30"/>
                <w:lang w:eastAsia="en-US"/>
              </w:rPr>
            </w:pPr>
            <w:r>
              <w:rPr>
                <w:rFonts w:eastAsiaTheme="minorHAnsi"/>
                <w:szCs w:val="30"/>
                <w:lang w:eastAsia="en-US"/>
              </w:rPr>
              <w:t>2019 г.</w:t>
            </w:r>
          </w:p>
        </w:tc>
        <w:tc>
          <w:tcPr>
            <w:tcW w:w="2464" w:type="dxa"/>
          </w:tcPr>
          <w:p w:rsidR="00284F95" w:rsidRDefault="00807C76">
            <w:pPr>
              <w:autoSpaceDE w:val="0"/>
              <w:autoSpaceDN w:val="0"/>
              <w:adjustRightInd w:val="0"/>
              <w:rPr>
                <w:rFonts w:eastAsiaTheme="minorHAnsi"/>
                <w:szCs w:val="30"/>
                <w:lang w:eastAsia="en-US"/>
              </w:rPr>
            </w:pPr>
            <w:r>
              <w:rPr>
                <w:rFonts w:eastAsiaTheme="minorHAnsi"/>
                <w:szCs w:val="30"/>
                <w:lang w:eastAsia="en-US"/>
              </w:rPr>
              <w:t>до 1 декабря 2019 г.</w:t>
            </w:r>
          </w:p>
        </w:tc>
        <w:tc>
          <w:tcPr>
            <w:tcW w:w="2464" w:type="dxa"/>
          </w:tcPr>
          <w:p w:rsidR="00284F95" w:rsidRDefault="00807C76">
            <w:pPr>
              <w:autoSpaceDE w:val="0"/>
              <w:autoSpaceDN w:val="0"/>
              <w:adjustRightInd w:val="0"/>
              <w:rPr>
                <w:rFonts w:eastAsiaTheme="minorHAnsi"/>
                <w:szCs w:val="30"/>
                <w:lang w:eastAsia="en-US"/>
              </w:rPr>
            </w:pPr>
            <w:r>
              <w:rPr>
                <w:rFonts w:eastAsiaTheme="minorHAnsi"/>
                <w:szCs w:val="30"/>
                <w:lang w:eastAsia="en-US"/>
              </w:rPr>
              <w:t xml:space="preserve">до 1 ноября </w:t>
            </w:r>
          </w:p>
          <w:p w:rsidR="00284F95" w:rsidRDefault="00807C76">
            <w:pPr>
              <w:autoSpaceDE w:val="0"/>
              <w:autoSpaceDN w:val="0"/>
              <w:adjustRightInd w:val="0"/>
              <w:rPr>
                <w:rFonts w:eastAsiaTheme="minorHAnsi"/>
                <w:szCs w:val="30"/>
                <w:lang w:eastAsia="en-US"/>
              </w:rPr>
            </w:pPr>
            <w:r>
              <w:rPr>
                <w:rFonts w:eastAsiaTheme="minorHAnsi"/>
                <w:szCs w:val="30"/>
                <w:lang w:eastAsia="en-US"/>
              </w:rPr>
              <w:t>2020 г.</w:t>
            </w:r>
          </w:p>
        </w:tc>
      </w:tr>
      <w:tr w:rsidR="00284F95">
        <w:tc>
          <w:tcPr>
            <w:tcW w:w="2463" w:type="dxa"/>
          </w:tcPr>
          <w:p w:rsidR="00284F95" w:rsidRDefault="00807C76">
            <w:pPr>
              <w:autoSpaceDE w:val="0"/>
              <w:autoSpaceDN w:val="0"/>
              <w:adjustRightInd w:val="0"/>
              <w:rPr>
                <w:rFonts w:eastAsiaTheme="minorHAnsi"/>
                <w:szCs w:val="30"/>
                <w:lang w:eastAsia="en-US"/>
              </w:rPr>
            </w:pPr>
            <w:r>
              <w:rPr>
                <w:rFonts w:eastAsiaTheme="minorHAnsi"/>
                <w:szCs w:val="30"/>
                <w:lang w:eastAsia="en-US"/>
              </w:rPr>
              <w:t>вся территория Республики Беларусь</w:t>
            </w:r>
          </w:p>
        </w:tc>
        <w:tc>
          <w:tcPr>
            <w:tcW w:w="2463" w:type="dxa"/>
          </w:tcPr>
          <w:p w:rsidR="00284F95" w:rsidRDefault="00807C76">
            <w:pPr>
              <w:autoSpaceDE w:val="0"/>
              <w:autoSpaceDN w:val="0"/>
              <w:adjustRightInd w:val="0"/>
              <w:rPr>
                <w:rFonts w:eastAsiaTheme="minorHAnsi"/>
                <w:szCs w:val="30"/>
                <w:lang w:eastAsia="en-US"/>
              </w:rPr>
            </w:pPr>
            <w:r>
              <w:rPr>
                <w:rFonts w:eastAsiaTheme="minorHAnsi"/>
                <w:szCs w:val="30"/>
                <w:lang w:eastAsia="en-US"/>
              </w:rPr>
              <w:t xml:space="preserve">до 1 ноября </w:t>
            </w:r>
          </w:p>
          <w:p w:rsidR="00284F95" w:rsidRDefault="00807C76">
            <w:pPr>
              <w:autoSpaceDE w:val="0"/>
              <w:autoSpaceDN w:val="0"/>
              <w:adjustRightInd w:val="0"/>
              <w:rPr>
                <w:rFonts w:eastAsiaTheme="minorHAnsi"/>
                <w:szCs w:val="30"/>
                <w:lang w:eastAsia="en-US"/>
              </w:rPr>
            </w:pPr>
            <w:r>
              <w:rPr>
                <w:rFonts w:eastAsiaTheme="minorHAnsi"/>
                <w:szCs w:val="30"/>
                <w:lang w:eastAsia="en-US"/>
              </w:rPr>
              <w:t>2019 г.</w:t>
            </w:r>
          </w:p>
        </w:tc>
        <w:tc>
          <w:tcPr>
            <w:tcW w:w="2464" w:type="dxa"/>
          </w:tcPr>
          <w:p w:rsidR="004D7B87" w:rsidRDefault="00807C76">
            <w:pPr>
              <w:autoSpaceDE w:val="0"/>
              <w:autoSpaceDN w:val="0"/>
              <w:adjustRightInd w:val="0"/>
              <w:rPr>
                <w:rFonts w:eastAsiaTheme="minorHAnsi"/>
                <w:szCs w:val="30"/>
                <w:lang w:val="en-US" w:eastAsia="en-US"/>
              </w:rPr>
            </w:pPr>
            <w:r>
              <w:rPr>
                <w:rFonts w:eastAsiaTheme="minorHAnsi"/>
                <w:szCs w:val="30"/>
                <w:lang w:eastAsia="en-US"/>
              </w:rPr>
              <w:t xml:space="preserve">до 1 января </w:t>
            </w:r>
          </w:p>
          <w:p w:rsidR="00284F95" w:rsidRDefault="00807C76">
            <w:pPr>
              <w:autoSpaceDE w:val="0"/>
              <w:autoSpaceDN w:val="0"/>
              <w:adjustRightInd w:val="0"/>
              <w:rPr>
                <w:rFonts w:eastAsiaTheme="minorHAnsi"/>
                <w:szCs w:val="30"/>
                <w:lang w:eastAsia="en-US"/>
              </w:rPr>
            </w:pPr>
            <w:r>
              <w:rPr>
                <w:rFonts w:eastAsiaTheme="minorHAnsi"/>
                <w:szCs w:val="30"/>
                <w:lang w:eastAsia="en-US"/>
              </w:rPr>
              <w:t>2020 г.</w:t>
            </w:r>
          </w:p>
        </w:tc>
        <w:tc>
          <w:tcPr>
            <w:tcW w:w="2464" w:type="dxa"/>
          </w:tcPr>
          <w:p w:rsidR="00284F95" w:rsidRDefault="00807C76">
            <w:pPr>
              <w:autoSpaceDE w:val="0"/>
              <w:autoSpaceDN w:val="0"/>
              <w:adjustRightInd w:val="0"/>
              <w:rPr>
                <w:rFonts w:eastAsiaTheme="minorHAnsi"/>
                <w:szCs w:val="30"/>
                <w:lang w:eastAsia="en-US"/>
              </w:rPr>
            </w:pPr>
            <w:r>
              <w:rPr>
                <w:rFonts w:eastAsiaTheme="minorHAnsi"/>
                <w:szCs w:val="30"/>
                <w:lang w:eastAsia="en-US"/>
              </w:rPr>
              <w:t>до 1 декабря 2020 г.</w:t>
            </w:r>
          </w:p>
        </w:tc>
      </w:tr>
    </w:tbl>
    <w:p w:rsidR="00284F95" w:rsidRDefault="00284F95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30"/>
          <w:lang w:eastAsia="en-US"/>
        </w:rPr>
      </w:pPr>
    </w:p>
    <w:p w:rsidR="00284F95" w:rsidRDefault="00807C76">
      <w:pPr>
        <w:ind w:firstLine="709"/>
        <w:jc w:val="both"/>
      </w:pPr>
      <w:r>
        <w:t xml:space="preserve">Выбор субъектами хозяйствования, в том числе </w:t>
      </w:r>
      <w:r>
        <w:rPr>
          <w:szCs w:val="30"/>
        </w:rPr>
        <w:t xml:space="preserve">индивидуальными предпринимателями </w:t>
      </w:r>
      <w:r>
        <w:t>для совершения операций по продаже товаров (работ, услуг) программных касс позволит:</w:t>
      </w:r>
    </w:p>
    <w:p w:rsidR="00284F95" w:rsidRDefault="00807C76">
      <w:pPr>
        <w:ind w:right="-1" w:firstLine="709"/>
        <w:jc w:val="both"/>
        <w:rPr>
          <w:szCs w:val="30"/>
        </w:rPr>
      </w:pPr>
      <w:r>
        <w:rPr>
          <w:szCs w:val="30"/>
        </w:rPr>
        <w:t>сэкономить средства, связанные с приобретением новых либо доработкой уже используемых старых кассовых суммирующих аппаратов и с их техническим обслуживанием;</w:t>
      </w:r>
    </w:p>
    <w:p w:rsidR="00284F95" w:rsidRDefault="00807C76">
      <w:pPr>
        <w:ind w:right="-1" w:firstLine="709"/>
        <w:jc w:val="both"/>
        <w:rPr>
          <w:szCs w:val="30"/>
        </w:rPr>
      </w:pPr>
      <w:r>
        <w:rPr>
          <w:szCs w:val="30"/>
        </w:rPr>
        <w:t xml:space="preserve">не вносить залоговую стоимость за </w:t>
      </w:r>
      <w:r>
        <w:rPr>
          <w:color w:val="000000"/>
          <w:szCs w:val="30"/>
        </w:rPr>
        <w:t>средство контроля налоговых органов</w:t>
      </w:r>
      <w:r>
        <w:rPr>
          <w:szCs w:val="30"/>
        </w:rPr>
        <w:t>, поскольку в программных кассах оно не используется;</w:t>
      </w:r>
    </w:p>
    <w:p w:rsidR="00284F95" w:rsidRDefault="00807C76">
      <w:pPr>
        <w:ind w:firstLine="709"/>
        <w:jc w:val="both"/>
        <w:rPr>
          <w:szCs w:val="30"/>
        </w:rPr>
      </w:pPr>
      <w:r>
        <w:rPr>
          <w:szCs w:val="30"/>
        </w:rPr>
        <w:t>использовать для размещения программной кассы уже имеющиеся электронные устройства: планшеты, смартфоны и другие электронные устройства.</w:t>
      </w:r>
    </w:p>
    <w:p w:rsidR="00284F95" w:rsidRDefault="00807C76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 xml:space="preserve">Одновременно, постановлением № 819/16 предусматривается продление срока, по истечение которого будет действовать запрет на использование кассовых аппаратов с даты первой регистрации которых в налоговом органе истекло 6 лет, с 1 января 2020 года до 1 декабря 2020 года. Это необходимо для синхронизации сроков действия запрета, установленного в подпункте 2.4 пункта 2 постановления № 924/16 и сроков установки СКНО, определенных в подпункте 2.6 пункта 2 постановления </w:t>
      </w:r>
      <w:r>
        <w:rPr>
          <w:spacing w:val="-6"/>
          <w:szCs w:val="30"/>
        </w:rPr>
        <w:t xml:space="preserve">№ 924/16 </w:t>
      </w:r>
      <w:r>
        <w:rPr>
          <w:szCs w:val="30"/>
        </w:rPr>
        <w:t xml:space="preserve">для индивидуальных предпринимателей. </w:t>
      </w:r>
    </w:p>
    <w:p w:rsidR="00284F95" w:rsidRDefault="00807C76">
      <w:pPr>
        <w:autoSpaceDE w:val="0"/>
        <w:autoSpaceDN w:val="0"/>
        <w:adjustRightInd w:val="0"/>
        <w:ind w:firstLine="709"/>
        <w:jc w:val="both"/>
      </w:pPr>
      <w:r>
        <w:t>В целях однозначного применения Положения № 924/16 в отношении определения видов услуг, относящихся к бытовым, часть первая пункта 1 Положения № 924/16 дополняется бытовыми услугами и примечанием определяющим, что для целей Положения № 924/16 к бытовым услугам относятся бытовые услуги</w:t>
      </w:r>
      <w:r>
        <w:rPr>
          <w:szCs w:val="30"/>
        </w:rPr>
        <w:t>, </w:t>
      </w:r>
      <w:r>
        <w:rPr>
          <w:rFonts w:eastAsia="Calibri"/>
          <w:szCs w:val="30"/>
          <w:lang w:eastAsia="en-US"/>
        </w:rPr>
        <w:t xml:space="preserve">определенные законодательством о ведении государственного информационного ресурса «Реестр бытовых услуг Республики Беларусь». </w:t>
      </w:r>
      <w:r>
        <w:t xml:space="preserve">Соответственно, </w:t>
      </w:r>
      <w:r>
        <w:rPr>
          <w:b/>
        </w:rPr>
        <w:t xml:space="preserve">субъектами хозяйствования, оказывающими бытовые услуги, включенные в  государственный информационный ресурс «Реестр бытовых услуг Республики Беларусь, а также определенные </w:t>
      </w:r>
      <w:r>
        <w:rPr>
          <w:b/>
          <w:szCs w:val="30"/>
        </w:rPr>
        <w:t>Указом № 345,</w:t>
      </w:r>
      <w:r>
        <w:rPr>
          <w:szCs w:val="30"/>
        </w:rPr>
        <w:t xml:space="preserve"> </w:t>
      </w:r>
      <w:r>
        <w:rPr>
          <w:b/>
        </w:rPr>
        <w:t xml:space="preserve">необходимо будет использовать кассовое оборудование и платежные терминалы в соответствии с требованиями Положения </w:t>
      </w:r>
      <w:r>
        <w:rPr>
          <w:b/>
        </w:rPr>
        <w:br/>
        <w:t>№ 924/16.</w:t>
      </w:r>
      <w:r>
        <w:t xml:space="preserve"> В случае оказания таких услуг </w:t>
      </w:r>
      <w:r>
        <w:rPr>
          <w:rFonts w:eastAsiaTheme="minorHAnsi"/>
          <w:szCs w:val="30"/>
          <w:lang w:eastAsia="en-US"/>
        </w:rPr>
        <w:t xml:space="preserve">(за исключением технического обслуживания и ремонта транспортных средств, машин и оборудования, хранения автотранспортных средств) в объектах, расположенных в сельских населенных пунктах, с количеством работников, непосредственно оказывающих такие услуги, не более трех человек в одну смену, прием денежных средств может осуществляться без использования кассового оборудования и платежные терминалов. Указанная норма </w:t>
      </w:r>
      <w:r>
        <w:rPr>
          <w:szCs w:val="30"/>
        </w:rPr>
        <w:t xml:space="preserve">вступает в силу  через шесть месяцев после официального опубликования </w:t>
      </w:r>
      <w:r>
        <w:t>постановления, а именно с 05.06.2020.</w:t>
      </w:r>
    </w:p>
    <w:p w:rsidR="00284F95" w:rsidRDefault="00807C76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t xml:space="preserve">Национальным банком Республики Беларусь проводится работа по обеспечению </w:t>
      </w:r>
      <w:r>
        <w:rPr>
          <w:szCs w:val="30"/>
        </w:rPr>
        <w:t xml:space="preserve">возможности включения в договоры между банками-эквайерами и организациями торговли (сервиса) условий, согласно которым будет возможна выдача держателям карточек через используемое организацией торговли (сервиса) кассовое оборудование, подключенное к СККО, наличных денежных средств в белорусских рублях. </w:t>
      </w:r>
    </w:p>
    <w:p w:rsidR="00284F95" w:rsidRDefault="00807C76">
      <w:pPr>
        <w:autoSpaceDE w:val="0"/>
        <w:autoSpaceDN w:val="0"/>
        <w:adjustRightInd w:val="0"/>
        <w:ind w:firstLine="709"/>
        <w:jc w:val="both"/>
        <w:rPr>
          <w:i/>
          <w:szCs w:val="30"/>
        </w:rPr>
      </w:pPr>
      <w:r>
        <w:rPr>
          <w:i/>
          <w:szCs w:val="30"/>
        </w:rPr>
        <w:t xml:space="preserve">Справочно. Подготовлены изменения </w:t>
      </w:r>
      <w:r>
        <w:rPr>
          <w:i/>
        </w:rPr>
        <w:t xml:space="preserve">в </w:t>
      </w:r>
      <w:r>
        <w:rPr>
          <w:i/>
          <w:szCs w:val="30"/>
        </w:rPr>
        <w:t xml:space="preserve">постановление Правления Национального банка Республики Беларусь от 18 января 2013 г. № 34 «Об утверждении Инструкции о порядке совершения операций с банковскими платежными карточками» и утвержденную им инструкцию. </w:t>
      </w:r>
    </w:p>
    <w:p w:rsidR="004D7B87" w:rsidRPr="004D7B87" w:rsidRDefault="00807C76" w:rsidP="004D7B87">
      <w:pPr>
        <w:autoSpaceDE w:val="0"/>
        <w:autoSpaceDN w:val="0"/>
        <w:adjustRightInd w:val="0"/>
        <w:ind w:firstLine="709"/>
        <w:jc w:val="both"/>
      </w:pPr>
      <w:r>
        <w:rPr>
          <w:spacing w:val="-6"/>
          <w:szCs w:val="30"/>
        </w:rPr>
        <w:t xml:space="preserve">Для проведения таких операций в объектах торговли и оказания услуг Положение № 924/16 дополнено пунктом </w:t>
      </w:r>
      <w:r>
        <w:rPr>
          <w:szCs w:val="30"/>
        </w:rPr>
        <w:t>5</w:t>
      </w:r>
      <w:r>
        <w:rPr>
          <w:szCs w:val="30"/>
          <w:vertAlign w:val="superscript"/>
        </w:rPr>
        <w:t>1</w:t>
      </w:r>
      <w:r>
        <w:t xml:space="preserve">, которым  предусмотрен порядок использования кассового оборудования при совершении указанных операций. </w:t>
      </w:r>
      <w:r w:rsidR="004D7B87" w:rsidRPr="004D7B87">
        <w:rPr>
          <w:b/>
        </w:rPr>
        <w:t>Соответствующие положения вступают в силу с 1 января 2020 года.</w:t>
      </w:r>
    </w:p>
    <w:p w:rsidR="00284F95" w:rsidRDefault="00807C76">
      <w:pPr>
        <w:autoSpaceDE w:val="0"/>
        <w:autoSpaceDN w:val="0"/>
        <w:adjustRightInd w:val="0"/>
        <w:ind w:firstLine="709"/>
        <w:jc w:val="both"/>
      </w:pPr>
      <w:r>
        <w:t>Так, п</w:t>
      </w:r>
      <w:r>
        <w:rPr>
          <w:szCs w:val="30"/>
        </w:rPr>
        <w:t xml:space="preserve">ри включении </w:t>
      </w:r>
      <w:r>
        <w:t>в договоры между юридическими лицами, индивидуальными предпринимателями и банками-эквайерами положений, предусматривающих порядок и условия выдачи от имени и по поручению банков-эквайеров наличных денежных средств в белорусских рублях держателям карточек через используемое этими юридическими лицами, индивидуальными предпринимателями кассовое оборудование, подключенное к СККО, кассир при проведении операции по выдаче держателю карточки наличных денежных средств:</w:t>
      </w:r>
    </w:p>
    <w:p w:rsidR="00284F95" w:rsidRDefault="00807C76">
      <w:pPr>
        <w:autoSpaceDE w:val="0"/>
        <w:autoSpaceDN w:val="0"/>
        <w:spacing w:line="340" w:lineRule="exact"/>
        <w:ind w:firstLine="709"/>
        <w:jc w:val="both"/>
      </w:pPr>
      <w:r>
        <w:t xml:space="preserve">регистрирует на платежном терминале операцию выдачи наличных денежных средств держателю карточки в соответствии с требованиями, </w:t>
      </w:r>
      <w:r>
        <w:rPr>
          <w:spacing w:val="-16"/>
        </w:rPr>
        <w:t>устан</w:t>
      </w:r>
      <w:r>
        <w:rPr>
          <w:spacing w:val="-12"/>
        </w:rPr>
        <w:t>овленн</w:t>
      </w:r>
      <w:r>
        <w:rPr>
          <w:spacing w:val="-16"/>
        </w:rPr>
        <w:t>ыми банком-эквайером с соблюде</w:t>
      </w:r>
      <w:r>
        <w:rPr>
          <w:spacing w:val="-12"/>
        </w:rPr>
        <w:t>нием</w:t>
      </w:r>
      <w:r>
        <w:rPr>
          <w:spacing w:val="-16"/>
        </w:rPr>
        <w:t xml:space="preserve"> ба</w:t>
      </w:r>
      <w:r>
        <w:rPr>
          <w:spacing w:val="-12"/>
        </w:rPr>
        <w:t>нковс</w:t>
      </w:r>
      <w:r>
        <w:rPr>
          <w:spacing w:val="-16"/>
        </w:rPr>
        <w:t>кого зак</w:t>
      </w:r>
      <w:r>
        <w:rPr>
          <w:spacing w:val="-12"/>
        </w:rPr>
        <w:t>онодате</w:t>
      </w:r>
      <w:r>
        <w:rPr>
          <w:spacing w:val="-16"/>
        </w:rPr>
        <w:t>л</w:t>
      </w:r>
      <w:r>
        <w:rPr>
          <w:spacing w:val="-12"/>
        </w:rPr>
        <w:t>ьств</w:t>
      </w:r>
      <w:r>
        <w:rPr>
          <w:spacing w:val="-16"/>
        </w:rPr>
        <w:t>а</w:t>
      </w:r>
      <w:r>
        <w:t>;</w:t>
      </w:r>
    </w:p>
    <w:p w:rsidR="00284F95" w:rsidRDefault="00807C76">
      <w:pPr>
        <w:autoSpaceDE w:val="0"/>
        <w:autoSpaceDN w:val="0"/>
        <w:spacing w:line="340" w:lineRule="exact"/>
        <w:ind w:firstLine="709"/>
        <w:jc w:val="both"/>
      </w:pPr>
      <w:r>
        <w:t>с использованием кассового оборудования,  подключенного к СККО, проводит в безналичной форме сумму денежных средств, подлежащую выдаче держателю карточки, и выдает держателю карточки платежный документ, подтверждающий эту операцию;</w:t>
      </w:r>
    </w:p>
    <w:p w:rsidR="00284F95" w:rsidRDefault="00807C76">
      <w:pPr>
        <w:spacing w:line="340" w:lineRule="exact"/>
        <w:ind w:firstLine="709"/>
        <w:jc w:val="both"/>
      </w:pPr>
      <w:r>
        <w:t>с использованием кассового оборудования,  подключенного к СККО, выполняет операцию регистрации факта возврата денежных средств и выдает держателю карточки сумму наличных денежных средств в белорусских рублях, соответствующую сумме, указанной в абзаце третьем настоящего пункта.</w:t>
      </w:r>
    </w:p>
    <w:p w:rsidR="00284F95" w:rsidRDefault="00807C76">
      <w:pPr>
        <w:pStyle w:val="ConsPlusNormal"/>
        <w:ind w:firstLine="709"/>
        <w:jc w:val="both"/>
        <w:rPr>
          <w:szCs w:val="30"/>
        </w:rPr>
      </w:pPr>
      <w:r>
        <w:t xml:space="preserve">Так, например, физическое лицо наряду с покупкой товара в магазине просит выдать ему наличные денежные средства в сумме 50 </w:t>
      </w:r>
      <w:r>
        <w:rPr>
          <w:szCs w:val="30"/>
        </w:rPr>
        <w:t>белорусских рублей. Последовательность действий кассира следующая.</w:t>
      </w:r>
    </w:p>
    <w:p w:rsidR="00284F95" w:rsidRDefault="00807C76">
      <w:pPr>
        <w:autoSpaceDE w:val="0"/>
        <w:autoSpaceDN w:val="0"/>
        <w:spacing w:line="340" w:lineRule="exact"/>
        <w:ind w:firstLine="709"/>
        <w:jc w:val="both"/>
        <w:rPr>
          <w:szCs w:val="30"/>
        </w:rPr>
      </w:pPr>
      <w:r>
        <w:rPr>
          <w:szCs w:val="30"/>
        </w:rPr>
        <w:t xml:space="preserve">Кассир проводит </w:t>
      </w:r>
      <w:r>
        <w:t xml:space="preserve">на платежном терминале операцию выдачи наличных денежных средств держателю карточки в соответствии с требованиями, </w:t>
      </w:r>
      <w:r>
        <w:rPr>
          <w:spacing w:val="-16"/>
        </w:rPr>
        <w:t>устан</w:t>
      </w:r>
      <w:r>
        <w:rPr>
          <w:spacing w:val="-12"/>
        </w:rPr>
        <w:t>овленн</w:t>
      </w:r>
      <w:r>
        <w:rPr>
          <w:spacing w:val="-16"/>
        </w:rPr>
        <w:t>ыми банком-эквайером с соблюде</w:t>
      </w:r>
      <w:r>
        <w:rPr>
          <w:spacing w:val="-12"/>
        </w:rPr>
        <w:t>нием</w:t>
      </w:r>
      <w:r>
        <w:rPr>
          <w:spacing w:val="-16"/>
        </w:rPr>
        <w:t xml:space="preserve"> ба</w:t>
      </w:r>
      <w:r>
        <w:rPr>
          <w:spacing w:val="-12"/>
        </w:rPr>
        <w:t>нковс</w:t>
      </w:r>
      <w:r>
        <w:rPr>
          <w:spacing w:val="-16"/>
        </w:rPr>
        <w:t>кого зак</w:t>
      </w:r>
      <w:r>
        <w:rPr>
          <w:spacing w:val="-12"/>
        </w:rPr>
        <w:t>онодате</w:t>
      </w:r>
      <w:r>
        <w:rPr>
          <w:spacing w:val="-16"/>
        </w:rPr>
        <w:t>л</w:t>
      </w:r>
      <w:r>
        <w:rPr>
          <w:spacing w:val="-12"/>
        </w:rPr>
        <w:t>ьств</w:t>
      </w:r>
      <w:r>
        <w:rPr>
          <w:spacing w:val="-16"/>
        </w:rPr>
        <w:t>а</w:t>
      </w:r>
      <w:r>
        <w:t xml:space="preserve">; </w:t>
      </w:r>
      <w:r>
        <w:rPr>
          <w:szCs w:val="30"/>
        </w:rPr>
        <w:t xml:space="preserve">и выдает  физическому лицу карт-чек, сформированный платежным терминалом, в котором указана информация о выдаче наличных денежных средств в сумме 50 рублей. </w:t>
      </w:r>
    </w:p>
    <w:p w:rsidR="00284F95" w:rsidRDefault="00807C76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 xml:space="preserve">Затем кассир на кассовом оборудовании, подключенном к СККО, проводит </w:t>
      </w:r>
      <w:r>
        <w:t xml:space="preserve">в безналичной форме </w:t>
      </w:r>
      <w:r>
        <w:rPr>
          <w:szCs w:val="30"/>
        </w:rPr>
        <w:t xml:space="preserve">сумму </w:t>
      </w:r>
      <w:r>
        <w:t xml:space="preserve">50 </w:t>
      </w:r>
      <w:r>
        <w:rPr>
          <w:szCs w:val="30"/>
        </w:rPr>
        <w:t xml:space="preserve">белорусских рублей, </w:t>
      </w:r>
      <w:r>
        <w:t xml:space="preserve">подлежащую выдаче держателю карточки, </w:t>
      </w:r>
      <w:r>
        <w:rPr>
          <w:szCs w:val="30"/>
        </w:rPr>
        <w:t xml:space="preserve"> и выдает держателю карточки платежный документ, подтверждающий эту операцию. </w:t>
      </w:r>
    </w:p>
    <w:p w:rsidR="00284F95" w:rsidRDefault="00807C76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 xml:space="preserve">Завершающая операция - кассир выполняет на кассовом оборудовании операцию регистрации факта возврата денежных средств на сумму </w:t>
      </w:r>
      <w:r>
        <w:t xml:space="preserve">50 </w:t>
      </w:r>
      <w:r>
        <w:rPr>
          <w:szCs w:val="30"/>
        </w:rPr>
        <w:t xml:space="preserve">белорусских рублей и выдает держателю карточки сумму </w:t>
      </w:r>
      <w:r>
        <w:t xml:space="preserve">50 </w:t>
      </w:r>
      <w:r>
        <w:rPr>
          <w:szCs w:val="30"/>
        </w:rPr>
        <w:t>белорусских рублей наличными денежными средствами.</w:t>
      </w:r>
    </w:p>
    <w:p w:rsidR="00284F95" w:rsidRDefault="00807C76">
      <w:pPr>
        <w:autoSpaceDE w:val="0"/>
        <w:autoSpaceDN w:val="0"/>
        <w:adjustRightInd w:val="0"/>
        <w:ind w:firstLine="709"/>
        <w:jc w:val="both"/>
      </w:pPr>
      <w:r>
        <w:t xml:space="preserve">Кроме того, для </w:t>
      </w:r>
      <w:r>
        <w:rPr>
          <w:szCs w:val="30"/>
        </w:rPr>
        <w:t>обеспечения возможности выдачи держателям карточек через используемое организацией торговли (сервиса) кассовое оборудование, подключенное к СККО, наличных денежных средств в белорусских рублях, в Положении № 924/16 предусмотрена возможность п</w:t>
      </w:r>
      <w:r>
        <w:t>ри необходимости внесения в ящик для денег наличных денежных средств в течение рабочего дня (смены).</w:t>
      </w:r>
    </w:p>
    <w:p w:rsidR="00284F95" w:rsidRDefault="00807C76">
      <w:pPr>
        <w:autoSpaceDE w:val="0"/>
        <w:autoSpaceDN w:val="0"/>
        <w:adjustRightInd w:val="0"/>
        <w:ind w:firstLine="709"/>
        <w:jc w:val="both"/>
      </w:pPr>
      <w:r>
        <w:t xml:space="preserve">В настоящее время наряду с продажей авиабилетов и оформлением квитанций на реализацию собственных дополнительных услуг авиакомпании (продажа сверхнормативного багажа, платных мест, перевозка несопровождаемых детей и др.), непосредственно связанных с авиаперевозкой, в авиационной отрасли развивается тенденция продажи сопутствующих услуг, предоставляемых партнерами авиакомпании и связанных с путешествием. Реализация такого рода дополнительных платных услуг является еще одним из наиболее эффективных путей повышения доходности, в том числе с учетом международного опыта. В целях охвата всего спектра существующих дополнительных услуг, которые авиакомпании могли бы оказывать при перевозке пассажиров, багажа, грузов </w:t>
      </w:r>
      <w:r>
        <w:rPr>
          <w:szCs w:val="30"/>
        </w:rPr>
        <w:t xml:space="preserve">постановлением № 819/16 внесены соответствующие изменения для </w:t>
      </w:r>
      <w:r>
        <w:t>использования</w:t>
      </w:r>
      <w:r>
        <w:rPr>
          <w:szCs w:val="30"/>
        </w:rPr>
        <w:t xml:space="preserve"> с</w:t>
      </w:r>
      <w:r>
        <w:t>пециальной компьютерной системы при приеме денежных средств в этих случаях.</w:t>
      </w:r>
    </w:p>
    <w:p w:rsidR="00284F95" w:rsidRDefault="00807C76">
      <w:pPr>
        <w:autoSpaceDE w:val="0"/>
        <w:autoSpaceDN w:val="0"/>
        <w:adjustRightInd w:val="0"/>
        <w:ind w:firstLine="709"/>
        <w:jc w:val="both"/>
      </w:pPr>
      <w:r>
        <w:t xml:space="preserve">Также, </w:t>
      </w:r>
      <w:r>
        <w:rPr>
          <w:szCs w:val="30"/>
        </w:rPr>
        <w:t xml:space="preserve">постановлением № 819/16 предусмотрена возможность </w:t>
      </w:r>
      <w:r>
        <w:t>использования Н</w:t>
      </w:r>
      <w:r>
        <w:rPr>
          <w:szCs w:val="30"/>
        </w:rPr>
        <w:t>ациональным оператором почтовой связи с</w:t>
      </w:r>
      <w:r>
        <w:t xml:space="preserve">пециальной компьютерной системы для приема денежных средств в том числе при оказании услуг физическим и юридическим лицам с оснащением почтальонов (почтовых курьеров) мобильными устройствами для совершения кассовых операций в режиме </w:t>
      </w:r>
      <w:r>
        <w:rPr>
          <w:lang w:val="en-US"/>
        </w:rPr>
        <w:t>on</w:t>
      </w:r>
      <w:r>
        <w:t>-</w:t>
      </w:r>
      <w:r>
        <w:rPr>
          <w:lang w:val="en-US"/>
        </w:rPr>
        <w:t>line</w:t>
      </w:r>
      <w:r>
        <w:t>.</w:t>
      </w:r>
    </w:p>
    <w:p w:rsidR="00284F95" w:rsidRDefault="00807C76">
      <w:pPr>
        <w:autoSpaceDE w:val="0"/>
        <w:autoSpaceDN w:val="0"/>
        <w:adjustRightInd w:val="0"/>
        <w:ind w:firstLine="709"/>
        <w:jc w:val="both"/>
      </w:pPr>
      <w:r>
        <w:t>Учитывая, что с</w:t>
      </w:r>
      <w:r>
        <w:rPr>
          <w:rFonts w:eastAsia="Calibri"/>
          <w:szCs w:val="30"/>
        </w:rPr>
        <w:t xml:space="preserve"> 1 сентября 2019 г. Указом Президента Республики Беларусь</w:t>
      </w:r>
      <w:r>
        <w:rPr>
          <w:rFonts w:eastAsia="Calibri"/>
        </w:rPr>
        <w:t xml:space="preserve"> </w:t>
      </w:r>
      <w:r>
        <w:rPr>
          <w:rFonts w:eastAsia="Calibri"/>
          <w:szCs w:val="30"/>
        </w:rPr>
        <w:t xml:space="preserve">от 11 мая 2019 г. № 175 «О страховании» введены нормы, в соответствии с которыми страховые брокеры могут по видам добровольного страхования получать страховые взносы по договорам страхования (перестрахования) при наличии соответствующего условия в договоре со страховщиком (перестраховщиком); заключать, в том числе подписывать по поручению страховщика договоры страхования, включая страховые полисы (свидетельства, сертификаты), в пределах полномочий, предоставленных страховщиком, в целях обеспечения возможности принятия страховыми брокерами наличных денежных средств без применения кассового оборудования и (или) платежных терминалов </w:t>
      </w:r>
      <w:r>
        <w:rPr>
          <w:rFonts w:eastAsia="Calibri"/>
          <w:szCs w:val="30"/>
        </w:rPr>
        <w:br/>
        <w:t xml:space="preserve">при осуществлении ими посреднической деятельности по страхованию подпункт 35.18 пункта 35 Положения № 924/16 </w:t>
      </w:r>
      <w:r>
        <w:t xml:space="preserve">излагается в редакции, предусматривающей указанную возможность. </w:t>
      </w:r>
    </w:p>
    <w:p w:rsidR="00284F95" w:rsidRDefault="00807C76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Также, </w:t>
      </w:r>
      <w:r>
        <w:rPr>
          <w:szCs w:val="30"/>
        </w:rPr>
        <w:t xml:space="preserve">постановлением № 819/16 </w:t>
      </w:r>
      <w:r>
        <w:t xml:space="preserve">внесены в </w:t>
      </w:r>
      <w:r>
        <w:rPr>
          <w:szCs w:val="30"/>
        </w:rPr>
        <w:t>постановление</w:t>
      </w:r>
      <w:r>
        <w:rPr>
          <w:b/>
        </w:rPr>
        <w:t xml:space="preserve"> </w:t>
      </w:r>
      <w:r>
        <w:rPr>
          <w:szCs w:val="30"/>
        </w:rPr>
        <w:t xml:space="preserve">№ 819/16 и </w:t>
      </w:r>
      <w:r>
        <w:t>Положение № 924/16 ряд других редакционных правок, в том числе названия данных документов изложены в новой редакции.</w:t>
      </w:r>
    </w:p>
    <w:sectPr w:rsidR="00284F95" w:rsidSect="00284F95">
      <w:headerReference w:type="default" r:id="rId8"/>
      <w:headerReference w:type="first" r:id="rId9"/>
      <w:pgSz w:w="11906" w:h="16838"/>
      <w:pgMar w:top="1134" w:right="567" w:bottom="567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5BB" w:rsidRDefault="003265BB">
      <w:r>
        <w:separator/>
      </w:r>
    </w:p>
  </w:endnote>
  <w:endnote w:type="continuationSeparator" w:id="0">
    <w:p w:rsidR="003265BB" w:rsidRDefault="0032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5BB" w:rsidRDefault="003265BB">
      <w:r>
        <w:separator/>
      </w:r>
    </w:p>
  </w:footnote>
  <w:footnote w:type="continuationSeparator" w:id="0">
    <w:p w:rsidR="003265BB" w:rsidRDefault="00326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3243363"/>
      <w:docPartObj>
        <w:docPartGallery w:val="Page Numbers (Top of Page)"/>
        <w:docPartUnique/>
      </w:docPartObj>
    </w:sdtPr>
    <w:sdtEndPr/>
    <w:sdtContent>
      <w:p w:rsidR="00284F95" w:rsidRDefault="003265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D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4F95" w:rsidRDefault="00284F95">
    <w:pPr>
      <w:pStyle w:val="a3"/>
      <w:jc w:val="center"/>
      <w:rPr>
        <w:noProof/>
        <w:sz w:val="26"/>
        <w:szCs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F95" w:rsidRDefault="00284F9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C3386E"/>
    <w:multiLevelType w:val="hybridMultilevel"/>
    <w:tmpl w:val="53C8B4F0"/>
    <w:lvl w:ilvl="0" w:tplc="6714D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95"/>
    <w:rsid w:val="000F4F7F"/>
    <w:rsid w:val="00284F95"/>
    <w:rsid w:val="003265BB"/>
    <w:rsid w:val="004D7B87"/>
    <w:rsid w:val="00807C76"/>
    <w:rsid w:val="00E2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7E628-2EDE-400B-AB26-472A18FC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3B0"/>
    <w:pPr>
      <w:ind w:firstLine="0"/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3AE9"/>
    <w:pPr>
      <w:keepNext/>
      <w:keepLines/>
      <w:autoSpaceDE w:val="0"/>
      <w:autoSpaceDN w:val="0"/>
      <w:adjustRightInd w:val="0"/>
      <w:outlineLvl w:val="0"/>
    </w:pPr>
    <w:rPr>
      <w:rFonts w:eastAsiaTheme="majorEastAsia" w:cstheme="majorBidi"/>
      <w:b/>
      <w:bCs/>
      <w:color w:val="365F91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qFormat/>
    <w:rsid w:val="0063015A"/>
    <w:pPr>
      <w:autoSpaceDE w:val="0"/>
      <w:autoSpaceDN w:val="0"/>
      <w:adjustRightInd w:val="0"/>
      <w:ind w:firstLine="709"/>
      <w:jc w:val="both"/>
    </w:pPr>
    <w:rPr>
      <w:rFonts w:eastAsia="Calibri"/>
      <w:szCs w:val="26"/>
      <w:lang w:eastAsia="en-US"/>
    </w:rPr>
  </w:style>
  <w:style w:type="character" w:customStyle="1" w:styleId="12">
    <w:name w:val="Стиль1 Знак"/>
    <w:basedOn w:val="a0"/>
    <w:link w:val="11"/>
    <w:locked/>
    <w:rsid w:val="0063015A"/>
    <w:rPr>
      <w:rFonts w:eastAsia="Calibri"/>
      <w:szCs w:val="26"/>
    </w:rPr>
  </w:style>
  <w:style w:type="character" w:customStyle="1" w:styleId="10">
    <w:name w:val="Заголовок 1 Знак"/>
    <w:basedOn w:val="a0"/>
    <w:link w:val="1"/>
    <w:uiPriority w:val="9"/>
    <w:rsid w:val="00713AE9"/>
    <w:rPr>
      <w:rFonts w:ascii="Times New Roman" w:eastAsiaTheme="majorEastAsia" w:hAnsi="Times New Roman" w:cstheme="majorBidi"/>
      <w:b/>
      <w:bCs/>
      <w:color w:val="365F91" w:themeColor="accent1" w:themeShade="BF"/>
      <w:sz w:val="30"/>
      <w:szCs w:val="28"/>
    </w:rPr>
  </w:style>
  <w:style w:type="paragraph" w:styleId="a3">
    <w:name w:val="header"/>
    <w:basedOn w:val="a"/>
    <w:link w:val="a4"/>
    <w:uiPriority w:val="99"/>
    <w:rsid w:val="008D23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23B0"/>
    <w:rPr>
      <w:rFonts w:eastAsia="Times New Roman"/>
      <w:szCs w:val="20"/>
      <w:lang w:eastAsia="ru-RU"/>
    </w:rPr>
  </w:style>
  <w:style w:type="character" w:styleId="a5">
    <w:name w:val="Emphasis"/>
    <w:basedOn w:val="a0"/>
    <w:uiPriority w:val="20"/>
    <w:qFormat/>
    <w:rsid w:val="00B52A1F"/>
    <w:rPr>
      <w:i/>
      <w:iCs/>
    </w:rPr>
  </w:style>
  <w:style w:type="paragraph" w:customStyle="1" w:styleId="ConsPlusNormal">
    <w:name w:val="ConsPlusNormal"/>
    <w:rsid w:val="00FF7094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newncpi0">
    <w:name w:val="newncpi0"/>
    <w:basedOn w:val="a"/>
    <w:rsid w:val="00242AAA"/>
    <w:pPr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25136A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36A"/>
    <w:rPr>
      <w:rFonts w:ascii="Tahoma" w:eastAsia="Times New Roman" w:hAnsi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3E6E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6E82"/>
    <w:rPr>
      <w:rFonts w:eastAsia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284F95"/>
    <w:pPr>
      <w:ind w:left="720"/>
      <w:contextualSpacing/>
    </w:pPr>
  </w:style>
  <w:style w:type="character" w:styleId="ab">
    <w:name w:val="annotation reference"/>
    <w:basedOn w:val="a0"/>
    <w:uiPriority w:val="99"/>
    <w:rsid w:val="00284F95"/>
    <w:rPr>
      <w:sz w:val="16"/>
      <w:szCs w:val="16"/>
    </w:rPr>
  </w:style>
  <w:style w:type="paragraph" w:styleId="ac">
    <w:name w:val="annotation text"/>
    <w:basedOn w:val="a"/>
    <w:link w:val="ad"/>
    <w:uiPriority w:val="99"/>
    <w:rsid w:val="00284F95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rsid w:val="00284F95"/>
    <w:rPr>
      <w:rFonts w:eastAsia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4F9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4F95"/>
    <w:rPr>
      <w:rFonts w:eastAsia="Times New Roman"/>
      <w:b/>
      <w:bCs/>
      <w:sz w:val="20"/>
      <w:szCs w:val="20"/>
      <w:lang w:eastAsia="ru-RU"/>
    </w:rPr>
  </w:style>
  <w:style w:type="character" w:customStyle="1" w:styleId="Normal">
    <w:name w:val="Normal Знак"/>
    <w:basedOn w:val="a0"/>
    <w:link w:val="13"/>
    <w:locked/>
    <w:rsid w:val="00284F95"/>
    <w:rPr>
      <w:lang w:eastAsia="ru-RU"/>
    </w:rPr>
  </w:style>
  <w:style w:type="paragraph" w:customStyle="1" w:styleId="13">
    <w:name w:val="Обычный1"/>
    <w:link w:val="Normal"/>
    <w:rsid w:val="00284F95"/>
    <w:pPr>
      <w:ind w:firstLine="0"/>
      <w:jc w:val="left"/>
    </w:pPr>
    <w:rPr>
      <w:lang w:eastAsia="ru-RU"/>
    </w:rPr>
  </w:style>
  <w:style w:type="paragraph" w:styleId="af0">
    <w:name w:val="Body Text Indent"/>
    <w:basedOn w:val="a"/>
    <w:link w:val="af1"/>
    <w:rsid w:val="00284F95"/>
    <w:pPr>
      <w:ind w:right="-185" w:firstLine="720"/>
      <w:jc w:val="both"/>
    </w:pPr>
    <w:rPr>
      <w:szCs w:val="24"/>
    </w:rPr>
  </w:style>
  <w:style w:type="character" w:customStyle="1" w:styleId="af1">
    <w:name w:val="Основной текст с отступом Знак"/>
    <w:basedOn w:val="a0"/>
    <w:link w:val="af0"/>
    <w:rsid w:val="00284F95"/>
    <w:rPr>
      <w:rFonts w:eastAsia="Times New Roman"/>
      <w:lang w:eastAsia="ru-RU"/>
    </w:rPr>
  </w:style>
  <w:style w:type="paragraph" w:customStyle="1" w:styleId="af2">
    <w:name w:val="Знак Знак Знак"/>
    <w:basedOn w:val="a"/>
    <w:autoRedefine/>
    <w:rsid w:val="00284F95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f3">
    <w:name w:val="Table Grid"/>
    <w:basedOn w:val="a1"/>
    <w:uiPriority w:val="59"/>
    <w:rsid w:val="00284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"/>
    <w:basedOn w:val="a"/>
    <w:autoRedefine/>
    <w:rsid w:val="00284F95"/>
    <w:pPr>
      <w:spacing w:after="160" w:line="240" w:lineRule="exact"/>
      <w:ind w:left="360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7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6B496-6D8C-4435-AC56-5CB6C9F42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2686</Words>
  <Characters>15312</Characters>
  <Application>Microsoft Office Word</Application>
  <DocSecurity>4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2019-12-17T06:18:00Z</cp:lastPrinted>
  <dcterms:created xsi:type="dcterms:W3CDTF">2019-12-17T06:24:00Z</dcterms:created>
  <dcterms:modified xsi:type="dcterms:W3CDTF">2019-12-17T06:24:00Z</dcterms:modified>
</cp:coreProperties>
</file>